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643EF" w14:textId="7C54F5BE" w:rsidR="004E166A" w:rsidRPr="00A10CD0" w:rsidRDefault="004E166A" w:rsidP="004E166A">
      <w:pPr>
        <w:pStyle w:val="Header"/>
        <w:rPr>
          <w:sz w:val="24"/>
          <w:szCs w:val="24"/>
        </w:rPr>
      </w:pPr>
      <w:bookmarkStart w:id="0" w:name="_Hlk527628066"/>
      <w:r w:rsidRPr="00A10CD0">
        <w:rPr>
          <w:sz w:val="24"/>
          <w:szCs w:val="24"/>
        </w:rPr>
        <w:t>3GPP TSG-RAN WG3 #119</w:t>
      </w:r>
      <w:r w:rsidRPr="00A10CD0">
        <w:rPr>
          <w:sz w:val="24"/>
          <w:szCs w:val="24"/>
        </w:rPr>
        <w:tab/>
      </w:r>
      <w:r w:rsidRPr="00A10CD0">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A10CD0">
        <w:rPr>
          <w:sz w:val="24"/>
          <w:szCs w:val="24"/>
        </w:rPr>
        <w:t>R3-23</w:t>
      </w:r>
      <w:r>
        <w:rPr>
          <w:sz w:val="24"/>
          <w:szCs w:val="24"/>
        </w:rPr>
        <w:t>017</w:t>
      </w:r>
      <w:r>
        <w:rPr>
          <w:sz w:val="24"/>
          <w:szCs w:val="24"/>
        </w:rPr>
        <w:t>3</w:t>
      </w:r>
    </w:p>
    <w:p w14:paraId="71D64CCF" w14:textId="77777777" w:rsidR="006374C9" w:rsidRDefault="006374C9" w:rsidP="006374C9">
      <w:pPr>
        <w:pStyle w:val="Header"/>
        <w:rPr>
          <w:sz w:val="24"/>
          <w:szCs w:val="24"/>
        </w:rPr>
      </w:pPr>
      <w:r w:rsidRPr="00A10CD0">
        <w:rPr>
          <w:sz w:val="24"/>
          <w:szCs w:val="24"/>
        </w:rPr>
        <w:t>27th Feb – 3rd Mar 2023</w:t>
      </w:r>
    </w:p>
    <w:p w14:paraId="454D8CA5" w14:textId="77777777" w:rsidR="006374C9" w:rsidRDefault="006374C9" w:rsidP="006374C9">
      <w:pPr>
        <w:pStyle w:val="Header"/>
        <w:rPr>
          <w:sz w:val="24"/>
          <w:szCs w:val="24"/>
        </w:rPr>
      </w:pPr>
      <w:r>
        <w:rPr>
          <w:sz w:val="24"/>
          <w:szCs w:val="24"/>
        </w:rPr>
        <w:t>Athens, Greece</w:t>
      </w:r>
    </w:p>
    <w:p w14:paraId="2B59E820" w14:textId="77777777" w:rsidR="00952130" w:rsidRPr="00B266B0" w:rsidRDefault="00952130" w:rsidP="00952130">
      <w:pPr>
        <w:pStyle w:val="Header"/>
        <w:rPr>
          <w:bCs w:val="0"/>
          <w:noProof w:val="0"/>
          <w:sz w:val="24"/>
        </w:rPr>
      </w:pPr>
    </w:p>
    <w:p w14:paraId="332AEB71" w14:textId="687415D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F5D5F">
        <w:rPr>
          <w:rFonts w:cs="Arial"/>
          <w:b/>
          <w:bCs/>
          <w:sz w:val="24"/>
          <w:lang w:eastAsia="ja-JP"/>
        </w:rPr>
        <w:t>4</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7F3BA1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FF5D5F">
        <w:rPr>
          <w:rFonts w:cs="Arial"/>
          <w:b/>
          <w:bCs/>
          <w:sz w:val="24"/>
        </w:rPr>
        <w:t>Mobile IAB interference mitigation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23AF1DA7" w14:textId="232A597D" w:rsidR="00E86720" w:rsidRDefault="006C3E34" w:rsidP="009443C0">
      <w:pPr>
        <w:spacing w:after="180"/>
        <w:jc w:val="left"/>
      </w:pPr>
      <w:r>
        <w:t xml:space="preserve">This contribution discusses </w:t>
      </w:r>
      <w:r w:rsidR="00FF5D5F">
        <w:t>mobile IAB interference mitigation. T</w:t>
      </w:r>
      <w:r w:rsidR="00DD301A">
        <w:t>he WID</w:t>
      </w:r>
      <w:r w:rsidR="005139E8">
        <w:t xml:space="preserve"> </w:t>
      </w:r>
      <w:r w:rsidR="00FF5D5F">
        <w:t xml:space="preserve">states following </w:t>
      </w:r>
      <w:r w:rsidR="005139E8">
        <w:t>(</w:t>
      </w:r>
      <w:r w:rsidR="00500A09">
        <w:fldChar w:fldCharType="begin"/>
      </w:r>
      <w:r w:rsidR="00500A09">
        <w:instrText xml:space="preserve"> REF _Ref110843185 \r \h </w:instrText>
      </w:r>
      <w:r w:rsidR="00500A09">
        <w:fldChar w:fldCharType="separate"/>
      </w:r>
      <w:r w:rsidR="0012333A">
        <w:t>[1]</w:t>
      </w:r>
      <w:r w:rsidR="00500A09">
        <w:fldChar w:fldCharType="end"/>
      </w:r>
      <w:r w:rsidR="005139E8">
        <w:t>)</w:t>
      </w:r>
      <w:r w:rsidR="00C67941">
        <w:t xml:space="preserve">. </w:t>
      </w:r>
    </w:p>
    <w:p w14:paraId="067DDAD7" w14:textId="1F6B5BA6" w:rsidR="00DD301A" w:rsidRPr="00FF5D5F" w:rsidRDefault="00FF5D5F" w:rsidP="00FF5D5F">
      <w:pPr>
        <w:pStyle w:val="maintext"/>
        <w:numPr>
          <w:ilvl w:val="0"/>
          <w:numId w:val="27"/>
        </w:numPr>
        <w:spacing w:line="240" w:lineRule="auto"/>
        <w:ind w:firstLineChars="0"/>
        <w:rPr>
          <w:rFonts w:asciiTheme="minorHAnsi" w:eastAsia="Times New Roman" w:hAnsiTheme="minorHAnsi" w:cs="Times New Roman"/>
          <w:lang w:val="en-US" w:eastAsia="en-US"/>
        </w:rPr>
      </w:pPr>
      <w:r>
        <w:rPr>
          <w:rFonts w:eastAsia="Times New Roman" w:cs="Times New Roman"/>
          <w:lang w:eastAsia="en-US"/>
        </w:rPr>
        <w:t>Mitigation of interference due to IAB-node mobility, including the avoidance of potential reference and control signal collisions (e.g. PCI, RACH). [RAN3, RAN2]</w:t>
      </w:r>
    </w:p>
    <w:p w14:paraId="3E5215A7" w14:textId="22EC69E1" w:rsidR="009443C0" w:rsidRDefault="009443C0">
      <w:pPr>
        <w:overflowPunct/>
        <w:autoSpaceDE/>
        <w:autoSpaceDN/>
        <w:adjustRightInd/>
        <w:spacing w:after="0"/>
        <w:jc w:val="left"/>
        <w:textAlignment w:val="auto"/>
      </w:pPr>
    </w:p>
    <w:p w14:paraId="62A6A771" w14:textId="2C4C4187" w:rsidR="00E72630" w:rsidRDefault="003370C4">
      <w:pPr>
        <w:overflowPunct/>
        <w:autoSpaceDE/>
        <w:autoSpaceDN/>
        <w:adjustRightInd/>
        <w:spacing w:after="0"/>
        <w:jc w:val="left"/>
        <w:textAlignment w:val="auto"/>
      </w:pPr>
      <w:r>
        <w:t>Previous</w:t>
      </w:r>
      <w:r w:rsidR="00B575DB">
        <w:t xml:space="preserve"> RAN3 meeting a</w:t>
      </w:r>
      <w:r w:rsidR="00E72630">
        <w:t xml:space="preserve">greed </w:t>
      </w:r>
      <w:r w:rsidR="00FF5D5F">
        <w:t>following:</w:t>
      </w:r>
      <w:r w:rsidR="00D760EB">
        <w:t xml:space="preserve"> </w:t>
      </w:r>
    </w:p>
    <w:p w14:paraId="12D11211"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PCI Space Partitioning is performed by OAM and up to implementation.</w:t>
      </w:r>
    </w:p>
    <w:p w14:paraId="79AECA53"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As baseline, to avoid PCI collision, F1-terminating IAB-donor can reconfigure PCI for the cell of mobile IAB-DU via existing F1AP message.</w:t>
      </w:r>
    </w:p>
    <w:p w14:paraId="4194BC2D"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PCI-change on the IAB-node can be supported via handover of connected UEs between cells using old and new PCI, respectively.</w:t>
      </w:r>
    </w:p>
    <w:p w14:paraId="6A78558E" w14:textId="77777777" w:rsidR="00B575DB" w:rsidRPr="00B97033" w:rsidRDefault="00B575DB" w:rsidP="00E142B5">
      <w:pPr>
        <w:spacing w:after="0"/>
        <w:ind w:left="288"/>
        <w:rPr>
          <w:rFonts w:ascii="Calibri" w:hAnsi="Calibri" w:cs="Calibri"/>
          <w:b/>
          <w:color w:val="008000"/>
          <w:sz w:val="18"/>
          <w:szCs w:val="18"/>
        </w:rPr>
      </w:pPr>
      <w:r w:rsidRPr="00B97033">
        <w:rPr>
          <w:rFonts w:ascii="Calibri" w:hAnsi="Calibri" w:cs="Calibri"/>
          <w:b/>
          <w:color w:val="008000"/>
          <w:sz w:val="18"/>
          <w:szCs w:val="18"/>
        </w:rPr>
        <w:t>PCI collision can be detected by the F1-terminating IAB-donor of the mobile IAB-node.</w:t>
      </w:r>
    </w:p>
    <w:p w14:paraId="08429A41" w14:textId="77777777" w:rsidR="00B575DB" w:rsidRDefault="00B575DB" w:rsidP="00B575DB">
      <w:pPr>
        <w:overflowPunct/>
        <w:autoSpaceDE/>
        <w:autoSpaceDN/>
        <w:adjustRightInd/>
        <w:spacing w:after="0"/>
        <w:ind w:left="288"/>
        <w:jc w:val="left"/>
        <w:textAlignment w:val="auto"/>
        <w:rPr>
          <w:rFonts w:ascii="Calibri" w:hAnsi="Calibri" w:cs="Calibri"/>
          <w:b/>
          <w:color w:val="008000"/>
          <w:sz w:val="18"/>
          <w:szCs w:val="18"/>
          <w:lang w:eastAsia="en-US"/>
        </w:rPr>
      </w:pPr>
    </w:p>
    <w:p w14:paraId="7181E67A" w14:textId="77777777" w:rsidR="00B575DB" w:rsidRDefault="00B575DB" w:rsidP="00B575DB">
      <w:pPr>
        <w:ind w:left="288"/>
        <w:rPr>
          <w:rFonts w:ascii="Calibri" w:hAnsi="Calibri" w:cs="Calibri"/>
          <w:b/>
          <w:color w:val="0000FF"/>
          <w:sz w:val="18"/>
          <w:szCs w:val="18"/>
        </w:rPr>
      </w:pPr>
      <w:r w:rsidRPr="00D360FB">
        <w:rPr>
          <w:rFonts w:ascii="Calibri" w:hAnsi="Calibri" w:cs="Calibri"/>
          <w:b/>
          <w:color w:val="0000FF"/>
          <w:sz w:val="18"/>
          <w:szCs w:val="18"/>
        </w:rPr>
        <w:t>FFS for the PCI reconfiguration in case of IAB-donor and IAB-node with different OAMs.</w:t>
      </w:r>
    </w:p>
    <w:p w14:paraId="5647AC06" w14:textId="77777777" w:rsidR="00B575DB" w:rsidRDefault="00B575DB">
      <w:pPr>
        <w:overflowPunct/>
        <w:autoSpaceDE/>
        <w:autoSpaceDN/>
        <w:adjustRightInd/>
        <w:spacing w:after="0"/>
        <w:jc w:val="left"/>
        <w:textAlignment w:val="auto"/>
        <w:rPr>
          <w:rFonts w:ascii="Calibri" w:hAnsi="Calibri" w:cs="Calibri"/>
          <w:b/>
          <w:color w:val="008000"/>
          <w:sz w:val="18"/>
          <w:szCs w:val="18"/>
          <w:lang w:eastAsia="en-US"/>
        </w:rPr>
      </w:pPr>
    </w:p>
    <w:p w14:paraId="70F1F9B2" w14:textId="644C1A1A" w:rsidR="00E72630" w:rsidRDefault="007436F7">
      <w:pPr>
        <w:overflowPunct/>
        <w:autoSpaceDE/>
        <w:autoSpaceDN/>
        <w:adjustRightInd/>
        <w:spacing w:after="0"/>
        <w:jc w:val="left"/>
        <w:textAlignment w:val="auto"/>
      </w:pPr>
      <w:r>
        <w:t>In t</w:t>
      </w:r>
      <w:r w:rsidR="00B575DB">
        <w:t>his contribution</w:t>
      </w:r>
      <w:r>
        <w:t xml:space="preserve"> we discuss the remaining issues related to PCI management.</w:t>
      </w:r>
    </w:p>
    <w:p w14:paraId="15191CA8" w14:textId="77777777" w:rsidR="007C6AC8" w:rsidRDefault="007C6AC8">
      <w:pPr>
        <w:overflowPunct/>
        <w:autoSpaceDE/>
        <w:autoSpaceDN/>
        <w:adjustRightInd/>
        <w:spacing w:after="0"/>
        <w:jc w:val="left"/>
        <w:textAlignment w:val="auto"/>
      </w:pPr>
    </w:p>
    <w:p w14:paraId="24115B24" w14:textId="0B8CE1F4" w:rsidR="00726160" w:rsidRDefault="00726160" w:rsidP="009443C0">
      <w:pPr>
        <w:pStyle w:val="Heading1"/>
      </w:pPr>
      <w:r>
        <w:t>Discussion</w:t>
      </w:r>
    </w:p>
    <w:p w14:paraId="37869C79" w14:textId="5D7FE32F" w:rsidR="009443C0" w:rsidRDefault="00726160" w:rsidP="00E142B5">
      <w:pPr>
        <w:pStyle w:val="Heading2"/>
      </w:pPr>
      <w:r>
        <w:t xml:space="preserve">2.1 </w:t>
      </w:r>
      <w:r w:rsidR="007C6AC8">
        <w:t xml:space="preserve">PCI collision </w:t>
      </w:r>
      <w:r>
        <w:t>detection/</w:t>
      </w:r>
      <w:r w:rsidR="007C6AC8">
        <w:t>avoidance</w:t>
      </w:r>
    </w:p>
    <w:p w14:paraId="15C9371D" w14:textId="5692545A" w:rsidR="00726160" w:rsidRDefault="00726160" w:rsidP="00FF5D5F">
      <w:r>
        <w:t>RAN3#11</w:t>
      </w:r>
      <w:r w:rsidR="00514064">
        <w:t>7</w:t>
      </w:r>
      <w:r>
        <w:t xml:space="preserve">bis agreements provide a versatile means for the PCI monitoring for mobile IAB-deployments. The means are not even limited to the agreed features but other existing possibilities exist, like normal UE ANR reporting applied both to UEs and IAB-MTs. The RAN serving the mobile IAB-nodes will be aware of the mobile IAB locations and the mobility history at least on the cell resolution which will be in normal cases enough to detect or estimate the probability of colliding PCIs of two mobile IAB-nodes. With </w:t>
      </w:r>
      <w:r w:rsidR="00964089">
        <w:t>PCI space partitioning also the probability of collisions can be reduced considerably.</w:t>
      </w:r>
    </w:p>
    <w:p w14:paraId="75D3731B" w14:textId="2B03271F" w:rsidR="00964089" w:rsidRPr="00E142B5" w:rsidRDefault="00964089" w:rsidP="00FF5D5F">
      <w:pPr>
        <w:rPr>
          <w:b/>
          <w:bCs/>
        </w:rPr>
      </w:pPr>
      <w:r w:rsidRPr="00E142B5">
        <w:rPr>
          <w:b/>
          <w:bCs/>
        </w:rPr>
        <w:t xml:space="preserve">Observation 1. </w:t>
      </w:r>
      <w:r w:rsidR="0027363F" w:rsidRPr="00E142B5">
        <w:rPr>
          <w:b/>
          <w:bCs/>
        </w:rPr>
        <w:t xml:space="preserve">RAN3 agreed features and other existing </w:t>
      </w:r>
      <w:r w:rsidR="00627A5E" w:rsidRPr="00E142B5">
        <w:rPr>
          <w:b/>
          <w:bCs/>
        </w:rPr>
        <w:t xml:space="preserve">RAN capabilities provide </w:t>
      </w:r>
      <w:r w:rsidR="0009623E" w:rsidRPr="00E142B5">
        <w:rPr>
          <w:b/>
          <w:bCs/>
        </w:rPr>
        <w:t>sufficient means for PCI collision detection/avoidance.</w:t>
      </w:r>
    </w:p>
    <w:p w14:paraId="37A7E5DD" w14:textId="1999A329" w:rsidR="0009623E" w:rsidRDefault="00455F7A" w:rsidP="00FF5D5F">
      <w:r w:rsidRPr="00E142B5">
        <w:rPr>
          <w:b/>
          <w:bCs/>
        </w:rPr>
        <w:t>Proposal 1. No further enhancements are needed for PCI collision detection/avoidance.</w:t>
      </w:r>
    </w:p>
    <w:p w14:paraId="64095E01" w14:textId="61036937" w:rsidR="00455F7A" w:rsidRDefault="001C6808" w:rsidP="00FF5D5F">
      <w:r>
        <w:t xml:space="preserve">Whenever there is a risk of collision, the PCI </w:t>
      </w:r>
      <w:r w:rsidR="001E5A82">
        <w:t xml:space="preserve">of (one of) the mobile </w:t>
      </w:r>
      <w:r w:rsidR="00851471">
        <w:t xml:space="preserve">IAB-node can be change by the </w:t>
      </w:r>
      <w:r w:rsidR="008C1B11">
        <w:t xml:space="preserve">CU controlling the IAB-node. As already recognized, the PCI change could utilize the </w:t>
      </w:r>
      <w:r w:rsidR="004C36E2">
        <w:t xml:space="preserve">dual-DU approach, to be specified for full migration, </w:t>
      </w:r>
      <w:r w:rsidR="001542F1">
        <w:t xml:space="preserve">for smooth transition </w:t>
      </w:r>
      <w:r w:rsidR="004561A3">
        <w:t xml:space="preserve">(HO) </w:t>
      </w:r>
      <w:r w:rsidR="001542F1">
        <w:t xml:space="preserve">of UEs between the old cell and the changed new cell with </w:t>
      </w:r>
      <w:r w:rsidR="00D23468">
        <w:t xml:space="preserve">the changed PCI. The procedure can be a subset of that of full migration </w:t>
      </w:r>
      <w:r w:rsidR="00475783">
        <w:t>as only one CU is involved.</w:t>
      </w:r>
    </w:p>
    <w:p w14:paraId="331E1CB1" w14:textId="688FE3B7" w:rsidR="00475783" w:rsidRDefault="00475783" w:rsidP="00FF5D5F">
      <w:pPr>
        <w:rPr>
          <w:b/>
          <w:bCs/>
        </w:rPr>
      </w:pPr>
      <w:r w:rsidRPr="00E142B5">
        <w:rPr>
          <w:b/>
          <w:bCs/>
        </w:rPr>
        <w:t xml:space="preserve">Observation 2. </w:t>
      </w:r>
      <w:r w:rsidR="00253211" w:rsidRPr="00E142B5">
        <w:rPr>
          <w:b/>
          <w:bCs/>
        </w:rPr>
        <w:t xml:space="preserve">Rel.18 full migration provide means </w:t>
      </w:r>
      <w:r w:rsidR="003B68D3" w:rsidRPr="00E142B5">
        <w:rPr>
          <w:b/>
          <w:bCs/>
        </w:rPr>
        <w:t xml:space="preserve">to avoid RLF </w:t>
      </w:r>
      <w:r w:rsidR="006B0E93" w:rsidRPr="00E142B5">
        <w:rPr>
          <w:b/>
          <w:bCs/>
        </w:rPr>
        <w:t xml:space="preserve">caused by PCI change by handing over UEs from </w:t>
      </w:r>
      <w:r w:rsidR="00EB0A6C" w:rsidRPr="00E142B5">
        <w:rPr>
          <w:b/>
          <w:bCs/>
        </w:rPr>
        <w:t>the old cell to the new cell with changed PCI.</w:t>
      </w:r>
    </w:p>
    <w:p w14:paraId="5F8F19E8" w14:textId="14742954" w:rsidR="002A5928" w:rsidRDefault="002A5928" w:rsidP="00FF5D5F">
      <w:pPr>
        <w:rPr>
          <w:b/>
          <w:bCs/>
        </w:rPr>
      </w:pPr>
      <w:r w:rsidRPr="66947640">
        <w:rPr>
          <w:b/>
          <w:bCs/>
        </w:rPr>
        <w:t xml:space="preserve">Proposal 2. No new </w:t>
      </w:r>
      <w:r w:rsidR="004A4CE4" w:rsidRPr="66947640">
        <w:rPr>
          <w:b/>
          <w:bCs/>
        </w:rPr>
        <w:t>signal</w:t>
      </w:r>
      <w:r w:rsidR="665447C5" w:rsidRPr="66947640">
        <w:rPr>
          <w:b/>
          <w:bCs/>
        </w:rPr>
        <w:t>l</w:t>
      </w:r>
      <w:r w:rsidR="004A4CE4" w:rsidRPr="66947640">
        <w:rPr>
          <w:b/>
          <w:bCs/>
        </w:rPr>
        <w:t>ing procedures specific for PCI change are needed.</w:t>
      </w:r>
    </w:p>
    <w:p w14:paraId="5424E49F" w14:textId="77777777" w:rsidR="004A4CE4" w:rsidRDefault="004A4CE4" w:rsidP="00FF5D5F">
      <w:pPr>
        <w:rPr>
          <w:b/>
          <w:bCs/>
        </w:rPr>
      </w:pPr>
    </w:p>
    <w:p w14:paraId="2FAC0E80" w14:textId="4D0CDF35" w:rsidR="00075FFD" w:rsidRDefault="00075FFD" w:rsidP="00075FFD">
      <w:pPr>
        <w:pStyle w:val="Heading2"/>
      </w:pPr>
      <w:r>
        <w:lastRenderedPageBreak/>
        <w:t>2.2 PCI configuratio</w:t>
      </w:r>
      <w:r w:rsidR="00B317B3">
        <w:t>ns with multiple OAMs</w:t>
      </w:r>
    </w:p>
    <w:p w14:paraId="0BC29361" w14:textId="4482A362" w:rsidR="00075FFD" w:rsidRDefault="0092139B" w:rsidP="00075FFD">
      <w:r>
        <w:t xml:space="preserve">An FFS was identified </w:t>
      </w:r>
      <w:r w:rsidR="00F126D6">
        <w:t>for case with multiple OAMs:</w:t>
      </w:r>
    </w:p>
    <w:p w14:paraId="6568D4B1" w14:textId="38CA478A" w:rsidR="00F126D6" w:rsidRPr="00E142B5" w:rsidRDefault="00F126D6" w:rsidP="00E142B5">
      <w:pPr>
        <w:pStyle w:val="ListParagraph"/>
        <w:numPr>
          <w:ilvl w:val="0"/>
          <w:numId w:val="39"/>
        </w:numPr>
        <w:rPr>
          <w:i/>
          <w:iCs/>
        </w:rPr>
      </w:pPr>
      <w:r w:rsidRPr="00E142B5">
        <w:rPr>
          <w:i/>
          <w:iCs/>
        </w:rPr>
        <w:t>FFS for the PCI reconfiguration in case of IAB-donor and IAB-node with different OAMs</w:t>
      </w:r>
    </w:p>
    <w:p w14:paraId="1250E493" w14:textId="5036D8EC" w:rsidR="00932AC8" w:rsidRDefault="00514064" w:rsidP="00075FFD">
      <w:r>
        <w:t xml:space="preserve">We think this is not an issue. In </w:t>
      </w:r>
      <w:r w:rsidR="6E39D939">
        <w:t xml:space="preserve">a </w:t>
      </w:r>
      <w:r w:rsidR="00C9775C">
        <w:t xml:space="preserve">normal (i.e. non-IAB) deployment, it is possible that the </w:t>
      </w:r>
      <w:proofErr w:type="spellStart"/>
      <w:r w:rsidR="00C9775C">
        <w:t>gNB</w:t>
      </w:r>
      <w:proofErr w:type="spellEnd"/>
      <w:r w:rsidR="00C9775C">
        <w:t xml:space="preserve">-DU and </w:t>
      </w:r>
      <w:proofErr w:type="spellStart"/>
      <w:r w:rsidR="00C9775C">
        <w:t>gNB</w:t>
      </w:r>
      <w:proofErr w:type="spellEnd"/>
      <w:r w:rsidR="00C9775C">
        <w:t xml:space="preserve">-CU come from </w:t>
      </w:r>
      <w:r w:rsidR="74F82F86">
        <w:t xml:space="preserve">a </w:t>
      </w:r>
      <w:r w:rsidR="00C9775C">
        <w:t xml:space="preserve">different vendor and uses different OAMs. </w:t>
      </w:r>
      <w:r w:rsidR="00457472">
        <w:t xml:space="preserve">The </w:t>
      </w:r>
      <w:proofErr w:type="spellStart"/>
      <w:r w:rsidR="00457472">
        <w:t>gNB</w:t>
      </w:r>
      <w:proofErr w:type="spellEnd"/>
      <w:r w:rsidR="00457472">
        <w:t xml:space="preserve">-DU may be configured by the </w:t>
      </w:r>
      <w:proofErr w:type="spellStart"/>
      <w:r w:rsidR="00457472">
        <w:t>gNB</w:t>
      </w:r>
      <w:proofErr w:type="spellEnd"/>
      <w:r w:rsidR="00457472">
        <w:t xml:space="preserve">-DU’s OAM server for the PCIs. During the F1 Setup procedure, the </w:t>
      </w:r>
      <w:proofErr w:type="spellStart"/>
      <w:r w:rsidR="00457472">
        <w:t>gNB</w:t>
      </w:r>
      <w:proofErr w:type="spellEnd"/>
      <w:r w:rsidR="00457472">
        <w:t xml:space="preserve">-CU may </w:t>
      </w:r>
      <w:r w:rsidR="006E5211">
        <w:t xml:space="preserve">configure </w:t>
      </w:r>
      <w:proofErr w:type="spellStart"/>
      <w:r w:rsidR="006E5211">
        <w:t>gNB</w:t>
      </w:r>
      <w:proofErr w:type="spellEnd"/>
      <w:r w:rsidR="006E5211">
        <w:t xml:space="preserve">-DU to use a different PCI. The </w:t>
      </w:r>
      <w:proofErr w:type="spellStart"/>
      <w:r w:rsidR="006E5211">
        <w:t>gNB</w:t>
      </w:r>
      <w:proofErr w:type="spellEnd"/>
      <w:r w:rsidR="006E5211">
        <w:t>-CU has better knowledge</w:t>
      </w:r>
      <w:r w:rsidR="0FC956E6">
        <w:t xml:space="preserve"> about the PCI </w:t>
      </w:r>
      <w:proofErr w:type="spellStart"/>
      <w:r w:rsidR="0FC956E6">
        <w:t>alllocations</w:t>
      </w:r>
      <w:proofErr w:type="spellEnd"/>
      <w:r w:rsidR="09232C6F">
        <w:t>, e.g.</w:t>
      </w:r>
      <w:r w:rsidR="006E5211">
        <w:t xml:space="preserve"> PCI used by other connected </w:t>
      </w:r>
      <w:proofErr w:type="spellStart"/>
      <w:r w:rsidR="006E5211">
        <w:t>gNB</w:t>
      </w:r>
      <w:proofErr w:type="spellEnd"/>
      <w:r w:rsidR="006E5211">
        <w:t xml:space="preserve">-DU, PCI used by the </w:t>
      </w:r>
      <w:proofErr w:type="spellStart"/>
      <w:r w:rsidR="006E5211">
        <w:t>neighboring</w:t>
      </w:r>
      <w:proofErr w:type="spellEnd"/>
      <w:r w:rsidR="006E5211">
        <w:t xml:space="preserve"> cells, </w:t>
      </w:r>
      <w:r w:rsidR="004477BE">
        <w:t xml:space="preserve">PCIs configured by </w:t>
      </w:r>
      <w:proofErr w:type="spellStart"/>
      <w:r w:rsidR="004477BE">
        <w:t>gNB</w:t>
      </w:r>
      <w:proofErr w:type="spellEnd"/>
      <w:r w:rsidR="004477BE">
        <w:t xml:space="preserve">-CU’s OAM, </w:t>
      </w:r>
      <w:r w:rsidR="006E5211">
        <w:t xml:space="preserve">etc. </w:t>
      </w:r>
      <w:r w:rsidR="00932AC8">
        <w:t xml:space="preserve">This also does not preclude the coordination between the </w:t>
      </w:r>
      <w:proofErr w:type="spellStart"/>
      <w:r w:rsidR="00932AC8">
        <w:t>gNB</w:t>
      </w:r>
      <w:proofErr w:type="spellEnd"/>
      <w:r w:rsidR="00932AC8">
        <w:t xml:space="preserve">-DU’s OAM and </w:t>
      </w:r>
      <w:proofErr w:type="spellStart"/>
      <w:r w:rsidR="00932AC8">
        <w:t>gNB</w:t>
      </w:r>
      <w:proofErr w:type="spellEnd"/>
      <w:r w:rsidR="00932AC8">
        <w:t xml:space="preserve">-CU’s OAM. </w:t>
      </w:r>
    </w:p>
    <w:p w14:paraId="3F04952C" w14:textId="3CC674B8" w:rsidR="00514064" w:rsidRDefault="00FB0786" w:rsidP="00075FFD">
      <w:r>
        <w:t xml:space="preserve">The mobile IAB is no </w:t>
      </w:r>
      <w:r w:rsidR="5CFA44BF">
        <w:t>differen</w:t>
      </w:r>
      <w:r w:rsidR="7551EC2D">
        <w:t>t</w:t>
      </w:r>
      <w:r>
        <w:t xml:space="preserve"> </w:t>
      </w:r>
      <w:r w:rsidR="4BD019BD">
        <w:t xml:space="preserve">from </w:t>
      </w:r>
      <w:r>
        <w:t xml:space="preserve">the normal deployment. </w:t>
      </w:r>
      <w:r w:rsidR="00C578B6">
        <w:t xml:space="preserve">Even the IAB node and IAB-donor may come from different vendor and use different OAMs. It can be </w:t>
      </w:r>
      <w:r w:rsidR="0062247E">
        <w:t xml:space="preserve">similar to normal deployment. There </w:t>
      </w:r>
      <w:r w:rsidR="00846D39">
        <w:t>are</w:t>
      </w:r>
      <w:r w:rsidR="0062247E">
        <w:t xml:space="preserve"> no new </w:t>
      </w:r>
      <w:r w:rsidR="545801C1">
        <w:t>issue</w:t>
      </w:r>
      <w:r w:rsidR="00846D39">
        <w:t>s</w:t>
      </w:r>
      <w:r w:rsidR="0062247E">
        <w:t xml:space="preserve">, thus no enhancement is needed. </w:t>
      </w:r>
    </w:p>
    <w:p w14:paraId="30559806" w14:textId="77777777" w:rsidR="0062247E" w:rsidRDefault="0062247E" w:rsidP="00075FFD"/>
    <w:p w14:paraId="10979F28" w14:textId="26C20086" w:rsidR="00AB7E24" w:rsidRPr="00E142B5" w:rsidRDefault="00AB7E24" w:rsidP="00AB7E24">
      <w:pPr>
        <w:rPr>
          <w:b/>
          <w:bCs/>
        </w:rPr>
      </w:pPr>
      <w:r w:rsidRPr="00E142B5">
        <w:rPr>
          <w:b/>
          <w:bCs/>
        </w:rPr>
        <w:t xml:space="preserve">Observation 3. </w:t>
      </w:r>
      <w:r w:rsidR="00A71780">
        <w:rPr>
          <w:b/>
          <w:bCs/>
        </w:rPr>
        <w:t xml:space="preserve">From RAN3 perspective, the IAB node and IAB-donor may use different OAMs, just like normal </w:t>
      </w:r>
      <w:proofErr w:type="spellStart"/>
      <w:r w:rsidR="00A71780">
        <w:rPr>
          <w:b/>
          <w:bCs/>
        </w:rPr>
        <w:t>gNB</w:t>
      </w:r>
      <w:proofErr w:type="spellEnd"/>
      <w:r w:rsidR="00A71780">
        <w:rPr>
          <w:b/>
          <w:bCs/>
        </w:rPr>
        <w:t xml:space="preserve">-DU and </w:t>
      </w:r>
      <w:proofErr w:type="spellStart"/>
      <w:r w:rsidR="00A71780">
        <w:rPr>
          <w:b/>
          <w:bCs/>
        </w:rPr>
        <w:t>gNB</w:t>
      </w:r>
      <w:proofErr w:type="spellEnd"/>
      <w:r w:rsidR="00A71780">
        <w:rPr>
          <w:b/>
          <w:bCs/>
        </w:rPr>
        <w:t xml:space="preserve">-CU that may use different OAMs. </w:t>
      </w:r>
    </w:p>
    <w:p w14:paraId="755C14BE" w14:textId="7B9AEA18" w:rsidR="00AB7E24" w:rsidRPr="00E142B5" w:rsidRDefault="00AB7E24" w:rsidP="00AB7E24">
      <w:pPr>
        <w:rPr>
          <w:b/>
          <w:bCs/>
        </w:rPr>
      </w:pPr>
      <w:r w:rsidRPr="00E142B5">
        <w:rPr>
          <w:b/>
          <w:bCs/>
        </w:rPr>
        <w:t xml:space="preserve">Proposal 3. </w:t>
      </w:r>
      <w:r w:rsidR="001F04EC">
        <w:rPr>
          <w:b/>
          <w:bCs/>
        </w:rPr>
        <w:t xml:space="preserve">No enhancement is needed when the IAB node and IAB-donor use different OAMs. </w:t>
      </w:r>
    </w:p>
    <w:p w14:paraId="1D897E59" w14:textId="77777777" w:rsidR="00AB7E24" w:rsidRPr="009B0FE0" w:rsidRDefault="00AB7E24" w:rsidP="00AB7E24"/>
    <w:p w14:paraId="374D50FB" w14:textId="008C9E71" w:rsidR="00C7556E" w:rsidRDefault="00C7556E" w:rsidP="00C7556E">
      <w:pPr>
        <w:pStyle w:val="Heading1"/>
      </w:pPr>
      <w:r>
        <w:t>Conclusions</w:t>
      </w:r>
    </w:p>
    <w:p w14:paraId="158CB137" w14:textId="02824B21" w:rsidR="006A66CF" w:rsidRDefault="006A66CF" w:rsidP="006A66CF">
      <w:pPr>
        <w:rPr>
          <w:bCs/>
          <w:lang w:val="en-US"/>
        </w:rPr>
      </w:pPr>
      <w:r w:rsidRPr="0087767E">
        <w:rPr>
          <w:bCs/>
          <w:lang w:val="en-US"/>
        </w:rPr>
        <w:t xml:space="preserve">In this contribution, we briefly analyzed </w:t>
      </w:r>
      <w:r w:rsidR="00FF5D5F">
        <w:rPr>
          <w:bCs/>
          <w:lang w:val="en-US"/>
        </w:rPr>
        <w:t xml:space="preserve">interference mitigation </w:t>
      </w:r>
      <w:r w:rsidR="601B55A6" w:rsidRPr="32D47CC5">
        <w:rPr>
          <w:lang w:val="en-US"/>
        </w:rPr>
        <w:t xml:space="preserve">and PCI management </w:t>
      </w:r>
      <w:r w:rsidR="00FF5D5F">
        <w:rPr>
          <w:bCs/>
          <w:lang w:val="en-US"/>
        </w:rPr>
        <w:t>in mobile IAB scenarios</w:t>
      </w:r>
      <w:r>
        <w:rPr>
          <w:bCs/>
          <w:lang w:val="en-US"/>
        </w:rPr>
        <w:t xml:space="preserve">. </w:t>
      </w:r>
      <w:r w:rsidR="007C6AC8">
        <w:rPr>
          <w:bCs/>
          <w:lang w:val="en-US"/>
        </w:rPr>
        <w:t xml:space="preserve">We </w:t>
      </w:r>
      <w:r w:rsidR="6133911D" w:rsidRPr="32D47CC5">
        <w:rPr>
          <w:lang w:val="en-US"/>
        </w:rPr>
        <w:t xml:space="preserve">made </w:t>
      </w:r>
      <w:r w:rsidR="007C6AC8">
        <w:rPr>
          <w:bCs/>
          <w:lang w:val="en-US"/>
        </w:rPr>
        <w:t>following observations</w:t>
      </w:r>
      <w:r w:rsidR="71143362" w:rsidRPr="32D47CC5">
        <w:rPr>
          <w:lang w:val="en-US"/>
        </w:rPr>
        <w:t>:</w:t>
      </w:r>
      <w:r w:rsidR="007C6AC8">
        <w:rPr>
          <w:bCs/>
          <w:lang w:val="en-US"/>
        </w:rPr>
        <w:t xml:space="preserve"> </w:t>
      </w:r>
    </w:p>
    <w:p w14:paraId="0DF439CF" w14:textId="2B03271F" w:rsidR="007C6AC8" w:rsidRDefault="1D2F0918" w:rsidP="540C1C12">
      <w:pPr>
        <w:rPr>
          <w:b/>
          <w:bCs/>
        </w:rPr>
      </w:pPr>
      <w:r w:rsidRPr="540C1C12">
        <w:rPr>
          <w:b/>
          <w:bCs/>
        </w:rPr>
        <w:t>Observation 1. RAN3 agreed features and other existing RAN capabilities provide sufficient means for PCI collision detection/avoidance.</w:t>
      </w:r>
    </w:p>
    <w:p w14:paraId="198F18FA" w14:textId="59556E7F" w:rsidR="007C6AC8" w:rsidRDefault="1D2F0918" w:rsidP="540C1C12">
      <w:pPr>
        <w:rPr>
          <w:b/>
          <w:bCs/>
        </w:rPr>
      </w:pPr>
      <w:r w:rsidRPr="32D47CC5">
        <w:rPr>
          <w:b/>
          <w:bCs/>
        </w:rPr>
        <w:t>Observation 2. Rel.18 full migration provide means to avoid RLF caused by PCI change by handing over UEs from the old cell to the new cell with changed PCI.</w:t>
      </w:r>
    </w:p>
    <w:p w14:paraId="20E35299" w14:textId="4C32946C" w:rsidR="007C6AC8" w:rsidRDefault="1D2F0918" w:rsidP="71F2CFE2">
      <w:pPr>
        <w:rPr>
          <w:b/>
          <w:bCs/>
        </w:rPr>
      </w:pPr>
      <w:r w:rsidRPr="32D47CC5">
        <w:rPr>
          <w:b/>
          <w:bCs/>
        </w:rPr>
        <w:t xml:space="preserve">Observation 3. From RAN3 perspective, the IAB node and IAB-donor may use different OAMs, just like normal </w:t>
      </w:r>
      <w:proofErr w:type="spellStart"/>
      <w:r w:rsidRPr="32D47CC5">
        <w:rPr>
          <w:b/>
          <w:bCs/>
        </w:rPr>
        <w:t>gNB</w:t>
      </w:r>
      <w:proofErr w:type="spellEnd"/>
      <w:r w:rsidRPr="32D47CC5">
        <w:rPr>
          <w:b/>
          <w:bCs/>
        </w:rPr>
        <w:t xml:space="preserve">-DU and </w:t>
      </w:r>
      <w:proofErr w:type="spellStart"/>
      <w:r w:rsidRPr="32D47CC5">
        <w:rPr>
          <w:b/>
          <w:bCs/>
        </w:rPr>
        <w:t>gNB</w:t>
      </w:r>
      <w:proofErr w:type="spellEnd"/>
      <w:r w:rsidRPr="32D47CC5">
        <w:rPr>
          <w:b/>
          <w:bCs/>
        </w:rPr>
        <w:t xml:space="preserve">-CU that may use different OAMs. </w:t>
      </w:r>
    </w:p>
    <w:p w14:paraId="4354FD91" w14:textId="77777777" w:rsidR="00285324" w:rsidRPr="00394F7A" w:rsidRDefault="00285324" w:rsidP="007C6AC8">
      <w:pPr>
        <w:rPr>
          <w:b/>
          <w:bCs/>
        </w:rPr>
      </w:pPr>
    </w:p>
    <w:p w14:paraId="0769DFE7" w14:textId="04D74073" w:rsidR="00C72472" w:rsidRDefault="007C6AC8" w:rsidP="006A66CF">
      <w:r>
        <w:rPr>
          <w:bCs/>
        </w:rPr>
        <w:t>Based on the analysis we propose following:</w:t>
      </w:r>
    </w:p>
    <w:p w14:paraId="2CBE1C68" w14:textId="1CB65C0F" w:rsidR="000D2BFD" w:rsidRPr="007C6AC8" w:rsidRDefault="3CA277B2" w:rsidP="32D47CC5">
      <w:pPr>
        <w:rPr>
          <w:b/>
          <w:bCs/>
        </w:rPr>
      </w:pPr>
      <w:r w:rsidRPr="32D47CC5">
        <w:rPr>
          <w:b/>
          <w:bCs/>
        </w:rPr>
        <w:t xml:space="preserve">Proposal 1. No further enhancements are needed for PCI collision detection/avoidance. </w:t>
      </w:r>
    </w:p>
    <w:p w14:paraId="394C9222" w14:textId="0D9BC9F8" w:rsidR="000D2BFD" w:rsidRPr="007C6AC8" w:rsidRDefault="3CA277B2" w:rsidP="32D47CC5">
      <w:pPr>
        <w:rPr>
          <w:b/>
          <w:bCs/>
        </w:rPr>
      </w:pPr>
      <w:r w:rsidRPr="32D47CC5">
        <w:rPr>
          <w:b/>
          <w:bCs/>
        </w:rPr>
        <w:t xml:space="preserve">Proposal 2. No new signalling procedures specific for PCI change are needed. </w:t>
      </w:r>
    </w:p>
    <w:p w14:paraId="3655779F" w14:textId="7C96B07B" w:rsidR="000D2BFD" w:rsidRPr="007C6AC8" w:rsidRDefault="3CA277B2" w:rsidP="32D47CC5">
      <w:pPr>
        <w:rPr>
          <w:b/>
          <w:bCs/>
        </w:rPr>
      </w:pPr>
      <w:r w:rsidRPr="32D47CC5">
        <w:rPr>
          <w:b/>
          <w:bCs/>
        </w:rPr>
        <w:t xml:space="preserve">Proposal 3. No enhancement is needed when the IAB node and IAB-donor use different OAMs. </w:t>
      </w:r>
    </w:p>
    <w:p w14:paraId="74EFEFAC" w14:textId="77777777" w:rsidR="007C6AC8" w:rsidRDefault="007C6AC8" w:rsidP="006A66CF">
      <w:pPr>
        <w:rPr>
          <w:bCs/>
          <w:lang w:val="en-US"/>
        </w:rPr>
      </w:pPr>
    </w:p>
    <w:p w14:paraId="38EB08E5" w14:textId="77777777" w:rsidR="009443C0" w:rsidRDefault="009443C0" w:rsidP="009443C0">
      <w:pPr>
        <w:pStyle w:val="Heading1"/>
      </w:pPr>
      <w:r>
        <w:t>References</w:t>
      </w:r>
    </w:p>
    <w:p w14:paraId="272F60A9" w14:textId="141F1623"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07A101A7" w14:textId="4EFA0EC7" w:rsidR="00FF5D5F" w:rsidRDefault="008208AF" w:rsidP="009443C0">
      <w:pPr>
        <w:numPr>
          <w:ilvl w:val="0"/>
          <w:numId w:val="21"/>
        </w:numPr>
        <w:spacing w:after="180"/>
        <w:jc w:val="left"/>
      </w:pPr>
      <w:r w:rsidRPr="008208AF">
        <w:t>RAN3_117bis-e_agenda_20221018_EOM</w:t>
      </w:r>
    </w:p>
    <w:p w14:paraId="6A15BD2F" w14:textId="4473C6C9" w:rsidR="003E54EC" w:rsidRDefault="003E54EC" w:rsidP="009443C0">
      <w:pPr>
        <w:numPr>
          <w:ilvl w:val="0"/>
          <w:numId w:val="21"/>
        </w:numPr>
        <w:spacing w:after="180"/>
        <w:jc w:val="left"/>
      </w:pPr>
      <w:r w:rsidRPr="003E54EC">
        <w:t>R3-225981, CB: # IAB4_IntMit</w:t>
      </w:r>
    </w:p>
    <w:sectPr w:rsidR="003E54EC" w:rsidSect="009443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305A4" w14:textId="77777777" w:rsidR="00141BF2" w:rsidRDefault="00141BF2">
      <w:r>
        <w:separator/>
      </w:r>
    </w:p>
  </w:endnote>
  <w:endnote w:type="continuationSeparator" w:id="0">
    <w:p w14:paraId="68F427B6" w14:textId="77777777" w:rsidR="00141BF2" w:rsidRDefault="00141BF2">
      <w:r>
        <w:continuationSeparator/>
      </w:r>
    </w:p>
  </w:endnote>
  <w:endnote w:type="continuationNotice" w:id="1">
    <w:p w14:paraId="340F4ECD" w14:textId="77777777" w:rsidR="00141BF2" w:rsidRDefault="00141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578D0" w14:textId="77777777" w:rsidR="00141BF2" w:rsidRDefault="00141BF2">
      <w:r>
        <w:separator/>
      </w:r>
    </w:p>
  </w:footnote>
  <w:footnote w:type="continuationSeparator" w:id="0">
    <w:p w14:paraId="2C72D1BD" w14:textId="77777777" w:rsidR="00141BF2" w:rsidRDefault="00141BF2">
      <w:r>
        <w:continuationSeparator/>
      </w:r>
    </w:p>
  </w:footnote>
  <w:footnote w:type="continuationNotice" w:id="1">
    <w:p w14:paraId="2FA58E73" w14:textId="77777777" w:rsidR="00141BF2" w:rsidRDefault="00141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41782F"/>
    <w:multiLevelType w:val="hybridMultilevel"/>
    <w:tmpl w:val="19ECFC76"/>
    <w:lvl w:ilvl="0" w:tplc="0910117C">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9" w15:restartNumberingAfterBreak="0">
    <w:nsid w:val="63CE1BEF"/>
    <w:multiLevelType w:val="hybridMultilevel"/>
    <w:tmpl w:val="9BC6A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0"/>
  </w:num>
  <w:num w:numId="3">
    <w:abstractNumId w:val="20"/>
  </w:num>
  <w:num w:numId="4">
    <w:abstractNumId w:val="16"/>
  </w:num>
  <w:num w:numId="5">
    <w:abstractNumId w:val="17"/>
  </w:num>
  <w:num w:numId="6">
    <w:abstractNumId w:val="11"/>
  </w:num>
  <w:num w:numId="7">
    <w:abstractNumId w:val="19"/>
  </w:num>
  <w:num w:numId="8">
    <w:abstractNumId w:val="25"/>
  </w:num>
  <w:num w:numId="9">
    <w:abstractNumId w:val="12"/>
  </w:num>
  <w:num w:numId="10">
    <w:abstractNumId w:val="21"/>
  </w:num>
  <w:num w:numId="11">
    <w:abstractNumId w:val="28"/>
  </w:num>
  <w:num w:numId="12">
    <w:abstractNumId w:val="3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7"/>
  </w:num>
  <w:num w:numId="18">
    <w:abstractNumId w:val="24"/>
  </w:num>
  <w:num w:numId="19">
    <w:abstractNumId w:val="36"/>
  </w:num>
  <w:num w:numId="20">
    <w:abstractNumId w:val="10"/>
  </w:num>
  <w:num w:numId="21">
    <w:abstractNumId w:val="1"/>
  </w:num>
  <w:num w:numId="22">
    <w:abstractNumId w:val="22"/>
    <w:lvlOverride w:ilvl="0">
      <w:startOverride w:val="1"/>
    </w:lvlOverride>
  </w:num>
  <w:num w:numId="23">
    <w:abstractNumId w:val="2"/>
  </w:num>
  <w:num w:numId="24">
    <w:abstractNumId w:val="8"/>
  </w:num>
  <w:num w:numId="25">
    <w:abstractNumId w:val="4"/>
  </w:num>
  <w:num w:numId="26">
    <w:abstractNumId w:val="15"/>
  </w:num>
  <w:num w:numId="27">
    <w:abstractNumId w:val="30"/>
  </w:num>
  <w:num w:numId="28">
    <w:abstractNumId w:val="32"/>
  </w:num>
  <w:num w:numId="29">
    <w:abstractNumId w:val="13"/>
  </w:num>
  <w:num w:numId="30">
    <w:abstractNumId w:val="31"/>
  </w:num>
  <w:num w:numId="31">
    <w:abstractNumId w:val="35"/>
  </w:num>
  <w:num w:numId="32">
    <w:abstractNumId w:val="33"/>
  </w:num>
  <w:num w:numId="33">
    <w:abstractNumId w:val="6"/>
  </w:num>
  <w:num w:numId="34">
    <w:abstractNumId w:val="9"/>
  </w:num>
  <w:num w:numId="35">
    <w:abstractNumId w:val="5"/>
  </w:num>
  <w:num w:numId="36">
    <w:abstractNumId w:val="18"/>
  </w:num>
  <w:num w:numId="37">
    <w:abstractNumId w:val="38"/>
  </w:num>
  <w:num w:numId="38">
    <w:abstractNumId w:val="30"/>
  </w:num>
  <w:num w:numId="39">
    <w:abstractNumId w:val="29"/>
  </w:num>
  <w:num w:numId="4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370"/>
    <w:rsid w:val="00014472"/>
    <w:rsid w:val="00014C3B"/>
    <w:rsid w:val="00014CC2"/>
    <w:rsid w:val="00015BE3"/>
    <w:rsid w:val="00015D15"/>
    <w:rsid w:val="000163D0"/>
    <w:rsid w:val="00016911"/>
    <w:rsid w:val="00017038"/>
    <w:rsid w:val="000179D1"/>
    <w:rsid w:val="000200F0"/>
    <w:rsid w:val="0002061C"/>
    <w:rsid w:val="0002084C"/>
    <w:rsid w:val="000212A2"/>
    <w:rsid w:val="00021FEB"/>
    <w:rsid w:val="00022116"/>
    <w:rsid w:val="000226EB"/>
    <w:rsid w:val="000229C4"/>
    <w:rsid w:val="00022DA7"/>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155"/>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519E"/>
    <w:rsid w:val="00075FFD"/>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23E"/>
    <w:rsid w:val="000966F4"/>
    <w:rsid w:val="00096D41"/>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6EB8"/>
    <w:rsid w:val="000A72D6"/>
    <w:rsid w:val="000B0146"/>
    <w:rsid w:val="000B1A38"/>
    <w:rsid w:val="000B1D66"/>
    <w:rsid w:val="000B2719"/>
    <w:rsid w:val="000B2D69"/>
    <w:rsid w:val="000B3A8F"/>
    <w:rsid w:val="000B3B00"/>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870"/>
    <w:rsid w:val="000D019C"/>
    <w:rsid w:val="000D03D3"/>
    <w:rsid w:val="000D0488"/>
    <w:rsid w:val="000D0D07"/>
    <w:rsid w:val="000D134D"/>
    <w:rsid w:val="000D1B88"/>
    <w:rsid w:val="000D22EF"/>
    <w:rsid w:val="000D2367"/>
    <w:rsid w:val="000D2369"/>
    <w:rsid w:val="000D274F"/>
    <w:rsid w:val="000D2BFD"/>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64D"/>
    <w:rsid w:val="00112FE9"/>
    <w:rsid w:val="00113CF4"/>
    <w:rsid w:val="001152F0"/>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33A"/>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5901"/>
    <w:rsid w:val="0013711E"/>
    <w:rsid w:val="001372E2"/>
    <w:rsid w:val="00137482"/>
    <w:rsid w:val="001376E1"/>
    <w:rsid w:val="00137A17"/>
    <w:rsid w:val="00137AB5"/>
    <w:rsid w:val="00137CC8"/>
    <w:rsid w:val="00137F0B"/>
    <w:rsid w:val="00140BAF"/>
    <w:rsid w:val="00141071"/>
    <w:rsid w:val="00141236"/>
    <w:rsid w:val="00141BF2"/>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2F1"/>
    <w:rsid w:val="0015490C"/>
    <w:rsid w:val="00154AF1"/>
    <w:rsid w:val="00154D2B"/>
    <w:rsid w:val="00155096"/>
    <w:rsid w:val="001551B5"/>
    <w:rsid w:val="001558FD"/>
    <w:rsid w:val="00155B60"/>
    <w:rsid w:val="00155C2B"/>
    <w:rsid w:val="00155EF4"/>
    <w:rsid w:val="001565BA"/>
    <w:rsid w:val="00156808"/>
    <w:rsid w:val="00156E4A"/>
    <w:rsid w:val="00157C3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5FDF"/>
    <w:rsid w:val="00176CAD"/>
    <w:rsid w:val="00176F67"/>
    <w:rsid w:val="00177795"/>
    <w:rsid w:val="00180357"/>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2D7C"/>
    <w:rsid w:val="0019341A"/>
    <w:rsid w:val="00193F11"/>
    <w:rsid w:val="00193F1B"/>
    <w:rsid w:val="00194AAD"/>
    <w:rsid w:val="00194F3B"/>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6808"/>
    <w:rsid w:val="001C736D"/>
    <w:rsid w:val="001C760C"/>
    <w:rsid w:val="001C793C"/>
    <w:rsid w:val="001C7C80"/>
    <w:rsid w:val="001C7F15"/>
    <w:rsid w:val="001D059E"/>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A82"/>
    <w:rsid w:val="001E5C7A"/>
    <w:rsid w:val="001E647F"/>
    <w:rsid w:val="001E6F78"/>
    <w:rsid w:val="001E7AED"/>
    <w:rsid w:val="001F04EC"/>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1F7E32"/>
    <w:rsid w:val="00200114"/>
    <w:rsid w:val="00200490"/>
    <w:rsid w:val="00200EE1"/>
    <w:rsid w:val="00200F06"/>
    <w:rsid w:val="00201B0E"/>
    <w:rsid w:val="00201ED6"/>
    <w:rsid w:val="00201F3A"/>
    <w:rsid w:val="00202287"/>
    <w:rsid w:val="0020259B"/>
    <w:rsid w:val="002027E4"/>
    <w:rsid w:val="00203F96"/>
    <w:rsid w:val="002045B5"/>
    <w:rsid w:val="00204794"/>
    <w:rsid w:val="002048BF"/>
    <w:rsid w:val="00204CF8"/>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DA2"/>
    <w:rsid w:val="00212E3C"/>
    <w:rsid w:val="00213054"/>
    <w:rsid w:val="00213C50"/>
    <w:rsid w:val="00214344"/>
    <w:rsid w:val="00214799"/>
    <w:rsid w:val="00214DA8"/>
    <w:rsid w:val="00215423"/>
    <w:rsid w:val="002158FA"/>
    <w:rsid w:val="00215C03"/>
    <w:rsid w:val="002164FF"/>
    <w:rsid w:val="00217C84"/>
    <w:rsid w:val="00217F12"/>
    <w:rsid w:val="0022048C"/>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0F2F"/>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211"/>
    <w:rsid w:val="00253A77"/>
    <w:rsid w:val="00253F49"/>
    <w:rsid w:val="002542E4"/>
    <w:rsid w:val="00254313"/>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63F"/>
    <w:rsid w:val="002737F4"/>
    <w:rsid w:val="00273F10"/>
    <w:rsid w:val="00274E42"/>
    <w:rsid w:val="00275572"/>
    <w:rsid w:val="00275F1B"/>
    <w:rsid w:val="0027632E"/>
    <w:rsid w:val="0027648E"/>
    <w:rsid w:val="00276C20"/>
    <w:rsid w:val="0027787B"/>
    <w:rsid w:val="002778F9"/>
    <w:rsid w:val="002805F5"/>
    <w:rsid w:val="00280751"/>
    <w:rsid w:val="00280898"/>
    <w:rsid w:val="002809C1"/>
    <w:rsid w:val="00280DA5"/>
    <w:rsid w:val="00280E2B"/>
    <w:rsid w:val="0028280A"/>
    <w:rsid w:val="00283E1D"/>
    <w:rsid w:val="00284F31"/>
    <w:rsid w:val="00285324"/>
    <w:rsid w:val="0028561E"/>
    <w:rsid w:val="00285AD6"/>
    <w:rsid w:val="00285E7F"/>
    <w:rsid w:val="002863A8"/>
    <w:rsid w:val="002863F5"/>
    <w:rsid w:val="00286666"/>
    <w:rsid w:val="00286ACD"/>
    <w:rsid w:val="00286FC4"/>
    <w:rsid w:val="00287313"/>
    <w:rsid w:val="002875D2"/>
    <w:rsid w:val="00287838"/>
    <w:rsid w:val="00287FC8"/>
    <w:rsid w:val="002907B5"/>
    <w:rsid w:val="00290A0F"/>
    <w:rsid w:val="00291C07"/>
    <w:rsid w:val="002921E6"/>
    <w:rsid w:val="00292560"/>
    <w:rsid w:val="00292E1E"/>
    <w:rsid w:val="00292EB7"/>
    <w:rsid w:val="00293328"/>
    <w:rsid w:val="00293817"/>
    <w:rsid w:val="00294139"/>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928"/>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C01DE"/>
    <w:rsid w:val="002C02AE"/>
    <w:rsid w:val="002C042F"/>
    <w:rsid w:val="002C0484"/>
    <w:rsid w:val="002C0625"/>
    <w:rsid w:val="002C06CB"/>
    <w:rsid w:val="002C0815"/>
    <w:rsid w:val="002C1AAA"/>
    <w:rsid w:val="002C275F"/>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370C4"/>
    <w:rsid w:val="003405A9"/>
    <w:rsid w:val="003409B2"/>
    <w:rsid w:val="00341CE2"/>
    <w:rsid w:val="00342BD7"/>
    <w:rsid w:val="00343A07"/>
    <w:rsid w:val="00345015"/>
    <w:rsid w:val="00345333"/>
    <w:rsid w:val="00345B74"/>
    <w:rsid w:val="00346838"/>
    <w:rsid w:val="003469BA"/>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69D5"/>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4F7A"/>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68D3"/>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5B2C"/>
    <w:rsid w:val="003C61BF"/>
    <w:rsid w:val="003C6EBE"/>
    <w:rsid w:val="003C7806"/>
    <w:rsid w:val="003C78D2"/>
    <w:rsid w:val="003C7AB5"/>
    <w:rsid w:val="003D0761"/>
    <w:rsid w:val="003D0A76"/>
    <w:rsid w:val="003D0E4D"/>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EC"/>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12D1"/>
    <w:rsid w:val="004018BD"/>
    <w:rsid w:val="00402E2B"/>
    <w:rsid w:val="00402F5D"/>
    <w:rsid w:val="004031DE"/>
    <w:rsid w:val="00403A7E"/>
    <w:rsid w:val="00404D0A"/>
    <w:rsid w:val="0040512B"/>
    <w:rsid w:val="00405BA5"/>
    <w:rsid w:val="00405CA5"/>
    <w:rsid w:val="00406038"/>
    <w:rsid w:val="00406694"/>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41FD"/>
    <w:rsid w:val="004242F4"/>
    <w:rsid w:val="00424F3F"/>
    <w:rsid w:val="004257D7"/>
    <w:rsid w:val="00425889"/>
    <w:rsid w:val="004270BA"/>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FBE"/>
    <w:rsid w:val="00446488"/>
    <w:rsid w:val="004474C1"/>
    <w:rsid w:val="004477BE"/>
    <w:rsid w:val="004477D5"/>
    <w:rsid w:val="00447EDF"/>
    <w:rsid w:val="00447F57"/>
    <w:rsid w:val="004517AA"/>
    <w:rsid w:val="00451DB9"/>
    <w:rsid w:val="0045219A"/>
    <w:rsid w:val="00452CAC"/>
    <w:rsid w:val="00453003"/>
    <w:rsid w:val="00453849"/>
    <w:rsid w:val="00454D4C"/>
    <w:rsid w:val="004550CD"/>
    <w:rsid w:val="00455145"/>
    <w:rsid w:val="00455E45"/>
    <w:rsid w:val="00455F7A"/>
    <w:rsid w:val="004561A3"/>
    <w:rsid w:val="00456C36"/>
    <w:rsid w:val="00457472"/>
    <w:rsid w:val="00457481"/>
    <w:rsid w:val="00457565"/>
    <w:rsid w:val="00457976"/>
    <w:rsid w:val="00457AD4"/>
    <w:rsid w:val="00457B71"/>
    <w:rsid w:val="00460334"/>
    <w:rsid w:val="004609A3"/>
    <w:rsid w:val="00460D3C"/>
    <w:rsid w:val="004617F6"/>
    <w:rsid w:val="00461B0C"/>
    <w:rsid w:val="00461C94"/>
    <w:rsid w:val="00461E1B"/>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C31"/>
    <w:rsid w:val="00471C4B"/>
    <w:rsid w:val="00472C22"/>
    <w:rsid w:val="004734D0"/>
    <w:rsid w:val="00473749"/>
    <w:rsid w:val="00474C7D"/>
    <w:rsid w:val="0047556B"/>
    <w:rsid w:val="00475783"/>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2E14"/>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4CE4"/>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BE6"/>
    <w:rsid w:val="004B6DEA"/>
    <w:rsid w:val="004B6F96"/>
    <w:rsid w:val="004B7127"/>
    <w:rsid w:val="004B7C0C"/>
    <w:rsid w:val="004B7F0A"/>
    <w:rsid w:val="004B7F1A"/>
    <w:rsid w:val="004C14C3"/>
    <w:rsid w:val="004C16B1"/>
    <w:rsid w:val="004C2515"/>
    <w:rsid w:val="004C29DC"/>
    <w:rsid w:val="004C36E2"/>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111E"/>
    <w:rsid w:val="004D172C"/>
    <w:rsid w:val="004D1A8C"/>
    <w:rsid w:val="004D25EA"/>
    <w:rsid w:val="004D36B1"/>
    <w:rsid w:val="004D3A12"/>
    <w:rsid w:val="004D483A"/>
    <w:rsid w:val="004D5745"/>
    <w:rsid w:val="004D672E"/>
    <w:rsid w:val="004D73CB"/>
    <w:rsid w:val="004D796E"/>
    <w:rsid w:val="004D7C3F"/>
    <w:rsid w:val="004D7EBD"/>
    <w:rsid w:val="004E1402"/>
    <w:rsid w:val="004E166A"/>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2A2"/>
    <w:rsid w:val="005139E8"/>
    <w:rsid w:val="00513D72"/>
    <w:rsid w:val="00514064"/>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DC3"/>
    <w:rsid w:val="0054208C"/>
    <w:rsid w:val="00542653"/>
    <w:rsid w:val="00542FB5"/>
    <w:rsid w:val="00543234"/>
    <w:rsid w:val="0054368D"/>
    <w:rsid w:val="00543984"/>
    <w:rsid w:val="00543F82"/>
    <w:rsid w:val="00544021"/>
    <w:rsid w:val="0054410E"/>
    <w:rsid w:val="0054462F"/>
    <w:rsid w:val="00544BAC"/>
    <w:rsid w:val="00546970"/>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E6"/>
    <w:rsid w:val="00564DD7"/>
    <w:rsid w:val="00564F91"/>
    <w:rsid w:val="00565D18"/>
    <w:rsid w:val="0056617B"/>
    <w:rsid w:val="005663D5"/>
    <w:rsid w:val="005664CA"/>
    <w:rsid w:val="005665C5"/>
    <w:rsid w:val="0056733A"/>
    <w:rsid w:val="00567CCF"/>
    <w:rsid w:val="005702FB"/>
    <w:rsid w:val="005705A2"/>
    <w:rsid w:val="00570BF3"/>
    <w:rsid w:val="00570C2A"/>
    <w:rsid w:val="00571171"/>
    <w:rsid w:val="005711B9"/>
    <w:rsid w:val="005716C2"/>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3D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1F2"/>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015"/>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47E"/>
    <w:rsid w:val="00622A62"/>
    <w:rsid w:val="00622CDF"/>
    <w:rsid w:val="006234A6"/>
    <w:rsid w:val="00623C67"/>
    <w:rsid w:val="0062414E"/>
    <w:rsid w:val="00624B48"/>
    <w:rsid w:val="00624D23"/>
    <w:rsid w:val="00624F67"/>
    <w:rsid w:val="006250F2"/>
    <w:rsid w:val="006251C7"/>
    <w:rsid w:val="00626388"/>
    <w:rsid w:val="00626598"/>
    <w:rsid w:val="0062725E"/>
    <w:rsid w:val="00627A5E"/>
    <w:rsid w:val="00627ADC"/>
    <w:rsid w:val="00630001"/>
    <w:rsid w:val="00630C1D"/>
    <w:rsid w:val="00631179"/>
    <w:rsid w:val="006311B3"/>
    <w:rsid w:val="00631C6B"/>
    <w:rsid w:val="00632022"/>
    <w:rsid w:val="00632155"/>
    <w:rsid w:val="00632415"/>
    <w:rsid w:val="0063284C"/>
    <w:rsid w:val="00632FB7"/>
    <w:rsid w:val="0063309B"/>
    <w:rsid w:val="006332B7"/>
    <w:rsid w:val="006338E7"/>
    <w:rsid w:val="006345DA"/>
    <w:rsid w:val="006347E6"/>
    <w:rsid w:val="00634AC8"/>
    <w:rsid w:val="00635483"/>
    <w:rsid w:val="00636087"/>
    <w:rsid w:val="00636398"/>
    <w:rsid w:val="00636432"/>
    <w:rsid w:val="006364F1"/>
    <w:rsid w:val="006368D3"/>
    <w:rsid w:val="006374C9"/>
    <w:rsid w:val="0063762D"/>
    <w:rsid w:val="006377EC"/>
    <w:rsid w:val="00637923"/>
    <w:rsid w:val="00640405"/>
    <w:rsid w:val="00640890"/>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760"/>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8A0"/>
    <w:rsid w:val="00686808"/>
    <w:rsid w:val="00686D5F"/>
    <w:rsid w:val="00686D9A"/>
    <w:rsid w:val="006870C0"/>
    <w:rsid w:val="006875C2"/>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6CF"/>
    <w:rsid w:val="006A697B"/>
    <w:rsid w:val="006A6A1F"/>
    <w:rsid w:val="006A6BCC"/>
    <w:rsid w:val="006A7AFF"/>
    <w:rsid w:val="006A7B05"/>
    <w:rsid w:val="006B0E93"/>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29C"/>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78F"/>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211"/>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7072"/>
    <w:rsid w:val="007074FD"/>
    <w:rsid w:val="00707571"/>
    <w:rsid w:val="00707D61"/>
    <w:rsid w:val="0071027F"/>
    <w:rsid w:val="00710CBF"/>
    <w:rsid w:val="00710FBB"/>
    <w:rsid w:val="00711818"/>
    <w:rsid w:val="00712287"/>
    <w:rsid w:val="0071242E"/>
    <w:rsid w:val="00712772"/>
    <w:rsid w:val="00712C4F"/>
    <w:rsid w:val="00712CB9"/>
    <w:rsid w:val="00713419"/>
    <w:rsid w:val="0071380C"/>
    <w:rsid w:val="00713960"/>
    <w:rsid w:val="00713A89"/>
    <w:rsid w:val="00713BF5"/>
    <w:rsid w:val="007148D3"/>
    <w:rsid w:val="00715B69"/>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4F29"/>
    <w:rsid w:val="00726160"/>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6F7"/>
    <w:rsid w:val="0074386C"/>
    <w:rsid w:val="00743CFA"/>
    <w:rsid w:val="00743E79"/>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3CB"/>
    <w:rsid w:val="00761C14"/>
    <w:rsid w:val="00762737"/>
    <w:rsid w:val="00762A6A"/>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D3C"/>
    <w:rsid w:val="0077013F"/>
    <w:rsid w:val="007708DF"/>
    <w:rsid w:val="007710B7"/>
    <w:rsid w:val="00771371"/>
    <w:rsid w:val="007717B7"/>
    <w:rsid w:val="007717C0"/>
    <w:rsid w:val="00771DE9"/>
    <w:rsid w:val="007730BD"/>
    <w:rsid w:val="00773C0A"/>
    <w:rsid w:val="007750EB"/>
    <w:rsid w:val="0077513F"/>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15D"/>
    <w:rsid w:val="00784795"/>
    <w:rsid w:val="00785004"/>
    <w:rsid w:val="00785490"/>
    <w:rsid w:val="0078549A"/>
    <w:rsid w:val="007878E2"/>
    <w:rsid w:val="0079029C"/>
    <w:rsid w:val="00790E12"/>
    <w:rsid w:val="00790F2A"/>
    <w:rsid w:val="007912CF"/>
    <w:rsid w:val="00791DCB"/>
    <w:rsid w:val="00791F25"/>
    <w:rsid w:val="007925EA"/>
    <w:rsid w:val="00793853"/>
    <w:rsid w:val="00793CD8"/>
    <w:rsid w:val="007947DA"/>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306F"/>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AC8"/>
    <w:rsid w:val="007C6F3E"/>
    <w:rsid w:val="007C75A1"/>
    <w:rsid w:val="007C75EC"/>
    <w:rsid w:val="007C77A5"/>
    <w:rsid w:val="007C7929"/>
    <w:rsid w:val="007C7CBF"/>
    <w:rsid w:val="007D04E5"/>
    <w:rsid w:val="007D0FCD"/>
    <w:rsid w:val="007D1106"/>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5018"/>
    <w:rsid w:val="007F64B9"/>
    <w:rsid w:val="007F71CE"/>
    <w:rsid w:val="007F75EF"/>
    <w:rsid w:val="007F77D6"/>
    <w:rsid w:val="0080078F"/>
    <w:rsid w:val="008015DF"/>
    <w:rsid w:val="00801F95"/>
    <w:rsid w:val="008020FE"/>
    <w:rsid w:val="00802955"/>
    <w:rsid w:val="008029EE"/>
    <w:rsid w:val="008035AD"/>
    <w:rsid w:val="008035DA"/>
    <w:rsid w:val="008038B5"/>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8A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D39"/>
    <w:rsid w:val="00846FE7"/>
    <w:rsid w:val="00850246"/>
    <w:rsid w:val="00850CEC"/>
    <w:rsid w:val="00850E36"/>
    <w:rsid w:val="00850E45"/>
    <w:rsid w:val="00850EF8"/>
    <w:rsid w:val="00851471"/>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7CF"/>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B11"/>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F1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13B"/>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4F3A"/>
    <w:rsid w:val="00915172"/>
    <w:rsid w:val="00915D25"/>
    <w:rsid w:val="0091601E"/>
    <w:rsid w:val="00916079"/>
    <w:rsid w:val="00916E73"/>
    <w:rsid w:val="009170FD"/>
    <w:rsid w:val="00917468"/>
    <w:rsid w:val="00917776"/>
    <w:rsid w:val="00917CE9"/>
    <w:rsid w:val="00920BF2"/>
    <w:rsid w:val="0092139B"/>
    <w:rsid w:val="00922010"/>
    <w:rsid w:val="0092314B"/>
    <w:rsid w:val="009234A3"/>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74D"/>
    <w:rsid w:val="00932AC8"/>
    <w:rsid w:val="00932DEF"/>
    <w:rsid w:val="00933C91"/>
    <w:rsid w:val="00933D08"/>
    <w:rsid w:val="00933E23"/>
    <w:rsid w:val="00933FB2"/>
    <w:rsid w:val="0093580B"/>
    <w:rsid w:val="00935A04"/>
    <w:rsid w:val="00935DB8"/>
    <w:rsid w:val="0093607B"/>
    <w:rsid w:val="009368F3"/>
    <w:rsid w:val="00936A53"/>
    <w:rsid w:val="00936C07"/>
    <w:rsid w:val="00936CAB"/>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089"/>
    <w:rsid w:val="009640A5"/>
    <w:rsid w:val="0096430A"/>
    <w:rsid w:val="00964919"/>
    <w:rsid w:val="009649F4"/>
    <w:rsid w:val="009652F7"/>
    <w:rsid w:val="0096548A"/>
    <w:rsid w:val="0096554B"/>
    <w:rsid w:val="00965567"/>
    <w:rsid w:val="0096584A"/>
    <w:rsid w:val="00965E60"/>
    <w:rsid w:val="00966A27"/>
    <w:rsid w:val="00966D80"/>
    <w:rsid w:val="00966F0D"/>
    <w:rsid w:val="00970C11"/>
    <w:rsid w:val="00970C44"/>
    <w:rsid w:val="00971898"/>
    <w:rsid w:val="00971C28"/>
    <w:rsid w:val="00971F08"/>
    <w:rsid w:val="0097256C"/>
    <w:rsid w:val="0097266D"/>
    <w:rsid w:val="00973057"/>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8760A"/>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0FE0"/>
    <w:rsid w:val="009B1104"/>
    <w:rsid w:val="009B196C"/>
    <w:rsid w:val="009B1F30"/>
    <w:rsid w:val="009B2CD2"/>
    <w:rsid w:val="009B301E"/>
    <w:rsid w:val="009B31AE"/>
    <w:rsid w:val="009B327D"/>
    <w:rsid w:val="009B3346"/>
    <w:rsid w:val="009B3AC2"/>
    <w:rsid w:val="009B43EA"/>
    <w:rsid w:val="009B499E"/>
    <w:rsid w:val="009B4DF4"/>
    <w:rsid w:val="009B4E12"/>
    <w:rsid w:val="009B51D0"/>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F39"/>
    <w:rsid w:val="009C0F5D"/>
    <w:rsid w:val="009C17F2"/>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C1E"/>
    <w:rsid w:val="00A02E5D"/>
    <w:rsid w:val="00A02F75"/>
    <w:rsid w:val="00A031C7"/>
    <w:rsid w:val="00A037D6"/>
    <w:rsid w:val="00A048A8"/>
    <w:rsid w:val="00A04CEE"/>
    <w:rsid w:val="00A04ED3"/>
    <w:rsid w:val="00A04F49"/>
    <w:rsid w:val="00A05F2D"/>
    <w:rsid w:val="00A064CA"/>
    <w:rsid w:val="00A06C98"/>
    <w:rsid w:val="00A07067"/>
    <w:rsid w:val="00A07372"/>
    <w:rsid w:val="00A076A8"/>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57DA"/>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1A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780"/>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B27"/>
    <w:rsid w:val="00A85053"/>
    <w:rsid w:val="00A85DC7"/>
    <w:rsid w:val="00A86000"/>
    <w:rsid w:val="00A8712F"/>
    <w:rsid w:val="00A87910"/>
    <w:rsid w:val="00A90248"/>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C94"/>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B7E24"/>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FA"/>
    <w:rsid w:val="00AE57B1"/>
    <w:rsid w:val="00AE5865"/>
    <w:rsid w:val="00AE5D60"/>
    <w:rsid w:val="00AE5EDF"/>
    <w:rsid w:val="00AE6283"/>
    <w:rsid w:val="00AE66AA"/>
    <w:rsid w:val="00AE6ED0"/>
    <w:rsid w:val="00AE79A3"/>
    <w:rsid w:val="00AE7F5A"/>
    <w:rsid w:val="00AF04AD"/>
    <w:rsid w:val="00AF0BFA"/>
    <w:rsid w:val="00AF13F7"/>
    <w:rsid w:val="00AF1C5D"/>
    <w:rsid w:val="00AF1D56"/>
    <w:rsid w:val="00AF2694"/>
    <w:rsid w:val="00AF26DD"/>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18D"/>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17B3"/>
    <w:rsid w:val="00B3391B"/>
    <w:rsid w:val="00B34C9B"/>
    <w:rsid w:val="00B3541A"/>
    <w:rsid w:val="00B3559D"/>
    <w:rsid w:val="00B35A40"/>
    <w:rsid w:val="00B36236"/>
    <w:rsid w:val="00B369AD"/>
    <w:rsid w:val="00B37066"/>
    <w:rsid w:val="00B372AA"/>
    <w:rsid w:val="00B37D91"/>
    <w:rsid w:val="00B40445"/>
    <w:rsid w:val="00B406C9"/>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180"/>
    <w:rsid w:val="00B5058B"/>
    <w:rsid w:val="00B51BBD"/>
    <w:rsid w:val="00B521E6"/>
    <w:rsid w:val="00B53227"/>
    <w:rsid w:val="00B53F38"/>
    <w:rsid w:val="00B54B9C"/>
    <w:rsid w:val="00B5592B"/>
    <w:rsid w:val="00B55EA5"/>
    <w:rsid w:val="00B56296"/>
    <w:rsid w:val="00B5681C"/>
    <w:rsid w:val="00B575DB"/>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66A9F"/>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C52"/>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0BE"/>
    <w:rsid w:val="00BC4A5A"/>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CA2"/>
    <w:rsid w:val="00BD5F1A"/>
    <w:rsid w:val="00BE07A9"/>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34E"/>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361"/>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011"/>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99"/>
    <w:rsid w:val="00C171B1"/>
    <w:rsid w:val="00C1747D"/>
    <w:rsid w:val="00C17D3F"/>
    <w:rsid w:val="00C2037A"/>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8A2"/>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578B6"/>
    <w:rsid w:val="00C6006D"/>
    <w:rsid w:val="00C604A5"/>
    <w:rsid w:val="00C60783"/>
    <w:rsid w:val="00C610E9"/>
    <w:rsid w:val="00C612B9"/>
    <w:rsid w:val="00C6166D"/>
    <w:rsid w:val="00C6167D"/>
    <w:rsid w:val="00C623D7"/>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472"/>
    <w:rsid w:val="00C72954"/>
    <w:rsid w:val="00C72CA7"/>
    <w:rsid w:val="00C72DB6"/>
    <w:rsid w:val="00C72EF4"/>
    <w:rsid w:val="00C73124"/>
    <w:rsid w:val="00C743F0"/>
    <w:rsid w:val="00C7479E"/>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77CFE"/>
    <w:rsid w:val="00C81568"/>
    <w:rsid w:val="00C82528"/>
    <w:rsid w:val="00C82D75"/>
    <w:rsid w:val="00C83487"/>
    <w:rsid w:val="00C83B4D"/>
    <w:rsid w:val="00C8431E"/>
    <w:rsid w:val="00C85182"/>
    <w:rsid w:val="00C858D0"/>
    <w:rsid w:val="00C85CF2"/>
    <w:rsid w:val="00C85F97"/>
    <w:rsid w:val="00C862F5"/>
    <w:rsid w:val="00C86B9F"/>
    <w:rsid w:val="00C87236"/>
    <w:rsid w:val="00C87FF7"/>
    <w:rsid w:val="00C9026B"/>
    <w:rsid w:val="00C9027A"/>
    <w:rsid w:val="00C9062C"/>
    <w:rsid w:val="00C9068E"/>
    <w:rsid w:val="00C90A1A"/>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75C"/>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111F"/>
    <w:rsid w:val="00CC134D"/>
    <w:rsid w:val="00CC14CB"/>
    <w:rsid w:val="00CC2011"/>
    <w:rsid w:val="00CC21A3"/>
    <w:rsid w:val="00CC29F9"/>
    <w:rsid w:val="00CC3EA0"/>
    <w:rsid w:val="00CC45AE"/>
    <w:rsid w:val="00CC5005"/>
    <w:rsid w:val="00CC5E23"/>
    <w:rsid w:val="00CC75AE"/>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A3F"/>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98B"/>
    <w:rsid w:val="00D06151"/>
    <w:rsid w:val="00D06E79"/>
    <w:rsid w:val="00D07166"/>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11B"/>
    <w:rsid w:val="00D153AA"/>
    <w:rsid w:val="00D159D4"/>
    <w:rsid w:val="00D17089"/>
    <w:rsid w:val="00D17248"/>
    <w:rsid w:val="00D17396"/>
    <w:rsid w:val="00D1742A"/>
    <w:rsid w:val="00D17707"/>
    <w:rsid w:val="00D207AD"/>
    <w:rsid w:val="00D208FD"/>
    <w:rsid w:val="00D2113B"/>
    <w:rsid w:val="00D2141F"/>
    <w:rsid w:val="00D21811"/>
    <w:rsid w:val="00D21987"/>
    <w:rsid w:val="00D2264C"/>
    <w:rsid w:val="00D22B49"/>
    <w:rsid w:val="00D23025"/>
    <w:rsid w:val="00D23468"/>
    <w:rsid w:val="00D23477"/>
    <w:rsid w:val="00D239A7"/>
    <w:rsid w:val="00D23A53"/>
    <w:rsid w:val="00D23F47"/>
    <w:rsid w:val="00D2426F"/>
    <w:rsid w:val="00D24952"/>
    <w:rsid w:val="00D24F35"/>
    <w:rsid w:val="00D267ED"/>
    <w:rsid w:val="00D26C4E"/>
    <w:rsid w:val="00D3005B"/>
    <w:rsid w:val="00D31468"/>
    <w:rsid w:val="00D31CC1"/>
    <w:rsid w:val="00D31E35"/>
    <w:rsid w:val="00D31FFB"/>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67597"/>
    <w:rsid w:val="00D708B0"/>
    <w:rsid w:val="00D70B19"/>
    <w:rsid w:val="00D70E73"/>
    <w:rsid w:val="00D7135D"/>
    <w:rsid w:val="00D728FE"/>
    <w:rsid w:val="00D734EC"/>
    <w:rsid w:val="00D74207"/>
    <w:rsid w:val="00D74578"/>
    <w:rsid w:val="00D74815"/>
    <w:rsid w:val="00D74E6A"/>
    <w:rsid w:val="00D75613"/>
    <w:rsid w:val="00D760EB"/>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529"/>
    <w:rsid w:val="00D977AA"/>
    <w:rsid w:val="00DA01B6"/>
    <w:rsid w:val="00DA1349"/>
    <w:rsid w:val="00DA1498"/>
    <w:rsid w:val="00DA1AC3"/>
    <w:rsid w:val="00DA2C5F"/>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77D"/>
    <w:rsid w:val="00DB37A7"/>
    <w:rsid w:val="00DB40FB"/>
    <w:rsid w:val="00DB4913"/>
    <w:rsid w:val="00DB5719"/>
    <w:rsid w:val="00DB6768"/>
    <w:rsid w:val="00DB6E98"/>
    <w:rsid w:val="00DB72C9"/>
    <w:rsid w:val="00DC0AC2"/>
    <w:rsid w:val="00DC0E5D"/>
    <w:rsid w:val="00DC1887"/>
    <w:rsid w:val="00DC1F5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326D"/>
    <w:rsid w:val="00DE41AA"/>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DF7A66"/>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2B5"/>
    <w:rsid w:val="00E1485E"/>
    <w:rsid w:val="00E1490F"/>
    <w:rsid w:val="00E14DEC"/>
    <w:rsid w:val="00E152F9"/>
    <w:rsid w:val="00E1577B"/>
    <w:rsid w:val="00E16446"/>
    <w:rsid w:val="00E1681F"/>
    <w:rsid w:val="00E16915"/>
    <w:rsid w:val="00E17182"/>
    <w:rsid w:val="00E17545"/>
    <w:rsid w:val="00E178A3"/>
    <w:rsid w:val="00E17FA2"/>
    <w:rsid w:val="00E20983"/>
    <w:rsid w:val="00E20C14"/>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4C8"/>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0EE"/>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74DB"/>
    <w:rsid w:val="00E77DE5"/>
    <w:rsid w:val="00E8007A"/>
    <w:rsid w:val="00E81AA2"/>
    <w:rsid w:val="00E81D92"/>
    <w:rsid w:val="00E821D6"/>
    <w:rsid w:val="00E8233A"/>
    <w:rsid w:val="00E8234C"/>
    <w:rsid w:val="00E8248E"/>
    <w:rsid w:val="00E82F93"/>
    <w:rsid w:val="00E831C4"/>
    <w:rsid w:val="00E8385E"/>
    <w:rsid w:val="00E83AA9"/>
    <w:rsid w:val="00E83DD8"/>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5A7D"/>
    <w:rsid w:val="00E96A90"/>
    <w:rsid w:val="00E96F47"/>
    <w:rsid w:val="00E97406"/>
    <w:rsid w:val="00E97845"/>
    <w:rsid w:val="00E97A81"/>
    <w:rsid w:val="00E97C5B"/>
    <w:rsid w:val="00EA0A93"/>
    <w:rsid w:val="00EA0FB1"/>
    <w:rsid w:val="00EA145C"/>
    <w:rsid w:val="00EA172E"/>
    <w:rsid w:val="00EA1940"/>
    <w:rsid w:val="00EA33B1"/>
    <w:rsid w:val="00EA383B"/>
    <w:rsid w:val="00EA3D78"/>
    <w:rsid w:val="00EA4B49"/>
    <w:rsid w:val="00EA61C3"/>
    <w:rsid w:val="00EA62C3"/>
    <w:rsid w:val="00EA6AC5"/>
    <w:rsid w:val="00EA6AE5"/>
    <w:rsid w:val="00EA7A41"/>
    <w:rsid w:val="00EA7D81"/>
    <w:rsid w:val="00EB05A0"/>
    <w:rsid w:val="00EB077B"/>
    <w:rsid w:val="00EB0A6C"/>
    <w:rsid w:val="00EB15F6"/>
    <w:rsid w:val="00EB2129"/>
    <w:rsid w:val="00EB2190"/>
    <w:rsid w:val="00EB3308"/>
    <w:rsid w:val="00EB38BB"/>
    <w:rsid w:val="00EB3CCA"/>
    <w:rsid w:val="00EB40A6"/>
    <w:rsid w:val="00EB46CC"/>
    <w:rsid w:val="00EB4EA2"/>
    <w:rsid w:val="00EB53CA"/>
    <w:rsid w:val="00EB54ED"/>
    <w:rsid w:val="00EB5636"/>
    <w:rsid w:val="00EB5A35"/>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912"/>
    <w:rsid w:val="00ED3F0F"/>
    <w:rsid w:val="00ED4F54"/>
    <w:rsid w:val="00ED4F9D"/>
    <w:rsid w:val="00ED5CAF"/>
    <w:rsid w:val="00ED6396"/>
    <w:rsid w:val="00ED6433"/>
    <w:rsid w:val="00ED67EE"/>
    <w:rsid w:val="00ED7766"/>
    <w:rsid w:val="00EE0A8F"/>
    <w:rsid w:val="00EE1309"/>
    <w:rsid w:val="00EE1E64"/>
    <w:rsid w:val="00EE1E92"/>
    <w:rsid w:val="00EE1EE2"/>
    <w:rsid w:val="00EE267E"/>
    <w:rsid w:val="00EE26A6"/>
    <w:rsid w:val="00EE34A9"/>
    <w:rsid w:val="00EE392C"/>
    <w:rsid w:val="00EE4026"/>
    <w:rsid w:val="00EE49D4"/>
    <w:rsid w:val="00EE4B5E"/>
    <w:rsid w:val="00EE4DF7"/>
    <w:rsid w:val="00EE4E1C"/>
    <w:rsid w:val="00EE7F85"/>
    <w:rsid w:val="00EF08AA"/>
    <w:rsid w:val="00EF18FE"/>
    <w:rsid w:val="00EF3908"/>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5B0"/>
    <w:rsid w:val="00F10629"/>
    <w:rsid w:val="00F10BD5"/>
    <w:rsid w:val="00F11290"/>
    <w:rsid w:val="00F120AE"/>
    <w:rsid w:val="00F12539"/>
    <w:rsid w:val="00F126D6"/>
    <w:rsid w:val="00F12BD7"/>
    <w:rsid w:val="00F13B91"/>
    <w:rsid w:val="00F13D59"/>
    <w:rsid w:val="00F1423F"/>
    <w:rsid w:val="00F14A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3E1"/>
    <w:rsid w:val="00F316AA"/>
    <w:rsid w:val="00F3174B"/>
    <w:rsid w:val="00F31A3E"/>
    <w:rsid w:val="00F324D9"/>
    <w:rsid w:val="00F329AC"/>
    <w:rsid w:val="00F33185"/>
    <w:rsid w:val="00F3337C"/>
    <w:rsid w:val="00F338DB"/>
    <w:rsid w:val="00F33AB4"/>
    <w:rsid w:val="00F33C92"/>
    <w:rsid w:val="00F33D51"/>
    <w:rsid w:val="00F33F93"/>
    <w:rsid w:val="00F34438"/>
    <w:rsid w:val="00F35783"/>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3345"/>
    <w:rsid w:val="00F738FB"/>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BA1"/>
    <w:rsid w:val="00F91CF1"/>
    <w:rsid w:val="00F9242E"/>
    <w:rsid w:val="00F92782"/>
    <w:rsid w:val="00F938A2"/>
    <w:rsid w:val="00F93915"/>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786"/>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49E"/>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2F21"/>
    <w:rsid w:val="00FF45A5"/>
    <w:rsid w:val="00FF49A7"/>
    <w:rsid w:val="00FF5C91"/>
    <w:rsid w:val="00FF5D5F"/>
    <w:rsid w:val="00FF606A"/>
    <w:rsid w:val="00FF62AE"/>
    <w:rsid w:val="00FF6AB8"/>
    <w:rsid w:val="00FF6E8B"/>
    <w:rsid w:val="0413E585"/>
    <w:rsid w:val="044FCEBB"/>
    <w:rsid w:val="0496F0B9"/>
    <w:rsid w:val="0607814E"/>
    <w:rsid w:val="06D8B70F"/>
    <w:rsid w:val="0762E83C"/>
    <w:rsid w:val="07876F7D"/>
    <w:rsid w:val="09232C6F"/>
    <w:rsid w:val="09439610"/>
    <w:rsid w:val="0A21EB72"/>
    <w:rsid w:val="0EB05EF7"/>
    <w:rsid w:val="0EE766A1"/>
    <w:rsid w:val="0FA0C7DC"/>
    <w:rsid w:val="0FC956E6"/>
    <w:rsid w:val="11652747"/>
    <w:rsid w:val="11FEF9AE"/>
    <w:rsid w:val="120C6BF9"/>
    <w:rsid w:val="130897E6"/>
    <w:rsid w:val="13BDE517"/>
    <w:rsid w:val="1A1165EB"/>
    <w:rsid w:val="1A2440A0"/>
    <w:rsid w:val="1ABA0FE8"/>
    <w:rsid w:val="1D2F0918"/>
    <w:rsid w:val="1EF1F735"/>
    <w:rsid w:val="209C681F"/>
    <w:rsid w:val="210E95FE"/>
    <w:rsid w:val="22F702A9"/>
    <w:rsid w:val="232F52A0"/>
    <w:rsid w:val="23E67CDA"/>
    <w:rsid w:val="24CB478D"/>
    <w:rsid w:val="24E5AAD1"/>
    <w:rsid w:val="261E4E13"/>
    <w:rsid w:val="28EA70FE"/>
    <w:rsid w:val="295A2ECD"/>
    <w:rsid w:val="2995EABA"/>
    <w:rsid w:val="2A2A2208"/>
    <w:rsid w:val="2CA3E6FE"/>
    <w:rsid w:val="2F17631C"/>
    <w:rsid w:val="3045607F"/>
    <w:rsid w:val="32D47CC5"/>
    <w:rsid w:val="330BD6E3"/>
    <w:rsid w:val="348FB4FB"/>
    <w:rsid w:val="3648F031"/>
    <w:rsid w:val="36CD217C"/>
    <w:rsid w:val="3894BB86"/>
    <w:rsid w:val="38AC62F7"/>
    <w:rsid w:val="38E0E85D"/>
    <w:rsid w:val="3A4AED2D"/>
    <w:rsid w:val="3AF7E4AF"/>
    <w:rsid w:val="3C530AEB"/>
    <w:rsid w:val="3CA277B2"/>
    <w:rsid w:val="3E3288E3"/>
    <w:rsid w:val="4076DEA3"/>
    <w:rsid w:val="4310948B"/>
    <w:rsid w:val="44D26AB2"/>
    <w:rsid w:val="45FD0716"/>
    <w:rsid w:val="471047D8"/>
    <w:rsid w:val="47A652A0"/>
    <w:rsid w:val="493B2B0B"/>
    <w:rsid w:val="49E44355"/>
    <w:rsid w:val="4A243A03"/>
    <w:rsid w:val="4AA4D8F6"/>
    <w:rsid w:val="4B1501EF"/>
    <w:rsid w:val="4B16A57A"/>
    <w:rsid w:val="4BD019BD"/>
    <w:rsid w:val="4BD25E9D"/>
    <w:rsid w:val="4BDB776C"/>
    <w:rsid w:val="4C24C725"/>
    <w:rsid w:val="4F5C67E7"/>
    <w:rsid w:val="50269420"/>
    <w:rsid w:val="50B72A1E"/>
    <w:rsid w:val="50CFB5E6"/>
    <w:rsid w:val="51CE5AC6"/>
    <w:rsid w:val="52C67A39"/>
    <w:rsid w:val="540C1C12"/>
    <w:rsid w:val="545801C1"/>
    <w:rsid w:val="54A9AC44"/>
    <w:rsid w:val="54DFD3FE"/>
    <w:rsid w:val="557CFF89"/>
    <w:rsid w:val="56838328"/>
    <w:rsid w:val="58456E61"/>
    <w:rsid w:val="58CA2989"/>
    <w:rsid w:val="59A39314"/>
    <w:rsid w:val="5BC9B305"/>
    <w:rsid w:val="5CFA44BF"/>
    <w:rsid w:val="5D9D9AAC"/>
    <w:rsid w:val="5F97A740"/>
    <w:rsid w:val="600B4C3A"/>
    <w:rsid w:val="600E24A0"/>
    <w:rsid w:val="601B55A6"/>
    <w:rsid w:val="6133911D"/>
    <w:rsid w:val="658DB8BC"/>
    <w:rsid w:val="665447C5"/>
    <w:rsid w:val="66947640"/>
    <w:rsid w:val="66BDEDA0"/>
    <w:rsid w:val="67D1ACCF"/>
    <w:rsid w:val="68244409"/>
    <w:rsid w:val="685CFE84"/>
    <w:rsid w:val="685F9634"/>
    <w:rsid w:val="6B88B816"/>
    <w:rsid w:val="6C2F6603"/>
    <w:rsid w:val="6C8D4112"/>
    <w:rsid w:val="6CCAFB48"/>
    <w:rsid w:val="6DBD1123"/>
    <w:rsid w:val="6DC3FCD2"/>
    <w:rsid w:val="6E39D939"/>
    <w:rsid w:val="6EA78169"/>
    <w:rsid w:val="7088333A"/>
    <w:rsid w:val="71143362"/>
    <w:rsid w:val="71EB1E0F"/>
    <w:rsid w:val="71F2CFE2"/>
    <w:rsid w:val="738F1F60"/>
    <w:rsid w:val="747874DD"/>
    <w:rsid w:val="74F170D1"/>
    <w:rsid w:val="74F82F86"/>
    <w:rsid w:val="751E89E2"/>
    <w:rsid w:val="7551EC2D"/>
    <w:rsid w:val="778288F5"/>
    <w:rsid w:val="77FBC24B"/>
    <w:rsid w:val="78D20E92"/>
    <w:rsid w:val="799055F3"/>
    <w:rsid w:val="7A414D06"/>
    <w:rsid w:val="7B00EE24"/>
    <w:rsid w:val="7CCED298"/>
    <w:rsid w:val="7E53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F0E80424-6008-4AAD-9347-2156900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1564281">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5AIRPNAIUNRU-1156379521-3371</_dlc_DocId>
    <_dlc_DocIdUrl xmlns="71c5aaf6-e6ce-465b-b873-5148d2a4c105">
      <Url>https://nokia.sharepoint.com/sites/c5g/e2earch/_layouts/15/DocIdRedir.aspx?ID=5AIRPNAIUNRU-1156379521-3371</Url>
      <Description>5AIRPNAIUNRU-1156379521-3371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3.xml><?xml version="1.0" encoding="utf-8"?>
<ds:datastoreItem xmlns:ds="http://schemas.openxmlformats.org/officeDocument/2006/customXml" ds:itemID="{5A61D7D7-6A4A-4CA1-881E-CC94B028719B}">
  <ds:schemaRef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a3840f4f-04be-43d1-b2ef-6ff1382503c7"/>
    <ds:schemaRef ds:uri="http://purl.org/dc/dcmitype/"/>
    <ds:schemaRef ds:uri="http://schemas.openxmlformats.org/package/2006/metadata/core-properties"/>
    <ds:schemaRef ds:uri="b1e1cf1a-759b-4612-9ceb-2888e9efb08a"/>
    <ds:schemaRef ds:uri="http://www.w3.org/XML/1998/namespace"/>
  </ds:schemaRefs>
</ds:datastoreItem>
</file>

<file path=customXml/itemProps4.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2</Pages>
  <Words>774</Words>
  <Characters>4168</Characters>
  <Application>Microsoft Office Word</Application>
  <DocSecurity>0</DocSecurity>
  <Lines>34</Lines>
  <Paragraphs>9</Paragraphs>
  <ScaleCrop>false</ScaleCrop>
  <Company>Ericsson</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78</cp:revision>
  <cp:lastPrinted>2021-10-21T05:07:00Z</cp:lastPrinted>
  <dcterms:created xsi:type="dcterms:W3CDTF">2022-09-23T10:11:00Z</dcterms:created>
  <dcterms:modified xsi:type="dcterms:W3CDTF">2023-02-17T02:32:00Z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fe8a448b-9aea-4277-9cd3-6d50c8fc9bb2</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